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BD" w:rsidRDefault="00FE39F3">
      <w:pPr>
        <w:tabs>
          <w:tab w:val="left" w:pos="2679"/>
        </w:tabs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‌</w:t>
      </w:r>
      <w:bookmarkStart w:id="0" w:name="ac61422a-29c7-4a5a-957e-10d44a9a8bf8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color w:val="auto"/>
        </w:rPr>
        <w:t xml:space="preserve">‌‌ </w:t>
      </w:r>
    </w:p>
    <w:p w:rsidR="008036BD" w:rsidRDefault="00FE39F3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‌</w:t>
      </w:r>
      <w:bookmarkStart w:id="1" w:name="999bf644-f3de-4153-a38b-a44d917c4aaf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color w:val="auto"/>
        </w:rPr>
        <w:t>‌​</w:t>
      </w:r>
    </w:p>
    <w:p w:rsidR="008036BD" w:rsidRDefault="00FE39F3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" w:name="_Hlk149670463"/>
      <w:r>
        <w:rPr>
          <w:rFonts w:ascii="Times New Roman" w:eastAsia="Times New Roman" w:hAnsi="Times New Roman" w:cs="Times New Roman"/>
          <w:b/>
          <w:color w:val="auto"/>
        </w:rPr>
        <w:t>Муниципальное автономное образовательное учреждение</w:t>
      </w:r>
    </w:p>
    <w:p w:rsidR="008036BD" w:rsidRDefault="00FE39F3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«Бронницкая средняя общеобразовательная школа»</w:t>
      </w:r>
    </w:p>
    <w:bookmarkEnd w:id="2"/>
    <w:p w:rsidR="008036BD" w:rsidRDefault="008036BD" w:rsidP="00547ADC">
      <w:pPr>
        <w:tabs>
          <w:tab w:val="left" w:pos="2679"/>
        </w:tabs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8036BD" w:rsidRDefault="00547ADC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F5E57">
        <w:rPr>
          <w:b/>
          <w:noProof/>
          <w:sz w:val="36"/>
        </w:rPr>
        <w:drawing>
          <wp:inline distT="0" distB="0" distL="0" distR="0" wp14:anchorId="3EE67CE5" wp14:editId="2B522BDE">
            <wp:extent cx="6645910" cy="1743392"/>
            <wp:effectExtent l="0" t="0" r="2540" b="9525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4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BD" w:rsidRDefault="008036BD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036BD" w:rsidRDefault="008036BD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036BD" w:rsidRDefault="008036BD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036BD" w:rsidRDefault="00FE39F3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:rsidR="008036BD" w:rsidRDefault="00FE39F3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внеурочной деятельности</w:t>
      </w:r>
    </w:p>
    <w:p w:rsidR="008036BD" w:rsidRDefault="00FE39F3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Спортивные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игры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8036BD" w:rsidRDefault="00FE39F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Направление :  спортивно-оздоровительное</w:t>
      </w:r>
    </w:p>
    <w:p w:rsidR="008036BD" w:rsidRDefault="008036BD">
      <w:pPr>
        <w:spacing w:line="360" w:lineRule="auto"/>
        <w:ind w:firstLine="6379"/>
        <w:jc w:val="center"/>
        <w:rPr>
          <w:rFonts w:ascii="Times New Roman" w:eastAsia="Times New Roman" w:hAnsi="Times New Roman" w:cs="Times New Roman"/>
          <w:color w:val="auto"/>
        </w:rPr>
      </w:pPr>
    </w:p>
    <w:p w:rsidR="008036BD" w:rsidRDefault="008036BD">
      <w:pPr>
        <w:spacing w:line="360" w:lineRule="auto"/>
        <w:ind w:firstLine="6379"/>
        <w:jc w:val="center"/>
        <w:rPr>
          <w:rFonts w:ascii="Times New Roman" w:eastAsia="Times New Roman" w:hAnsi="Times New Roman" w:cs="Times New Roman"/>
          <w:color w:val="auto"/>
        </w:rPr>
      </w:pPr>
    </w:p>
    <w:p w:rsidR="008036BD" w:rsidRDefault="008036BD">
      <w:pPr>
        <w:spacing w:line="360" w:lineRule="auto"/>
        <w:ind w:firstLine="6379"/>
        <w:jc w:val="center"/>
        <w:rPr>
          <w:rFonts w:ascii="Times New Roman" w:eastAsia="Times New Roman" w:hAnsi="Times New Roman" w:cs="Times New Roman"/>
          <w:color w:val="auto"/>
        </w:rPr>
      </w:pPr>
    </w:p>
    <w:p w:rsidR="008036BD" w:rsidRDefault="008036BD">
      <w:pPr>
        <w:spacing w:line="360" w:lineRule="auto"/>
        <w:ind w:firstLine="6379"/>
        <w:jc w:val="center"/>
        <w:rPr>
          <w:rFonts w:ascii="Times New Roman" w:eastAsia="Times New Roman" w:hAnsi="Times New Roman" w:cs="Times New Roman"/>
          <w:color w:val="auto"/>
        </w:rPr>
      </w:pPr>
    </w:p>
    <w:p w:rsidR="008036BD" w:rsidRDefault="008036BD">
      <w:pPr>
        <w:spacing w:line="360" w:lineRule="auto"/>
        <w:ind w:firstLine="6379"/>
        <w:jc w:val="center"/>
        <w:rPr>
          <w:rFonts w:ascii="Times New Roman" w:eastAsia="Times New Roman" w:hAnsi="Times New Roman" w:cs="Times New Roman"/>
          <w:color w:val="auto"/>
        </w:rPr>
      </w:pPr>
    </w:p>
    <w:p w:rsidR="008036BD" w:rsidRDefault="008036BD">
      <w:pPr>
        <w:spacing w:after="200" w:line="276" w:lineRule="auto"/>
        <w:ind w:left="1636"/>
        <w:contextualSpacing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036BD" w:rsidRDefault="008036BD">
      <w:pPr>
        <w:spacing w:line="360" w:lineRule="auto"/>
        <w:ind w:firstLine="6379"/>
        <w:jc w:val="center"/>
        <w:rPr>
          <w:rFonts w:ascii="Times New Roman" w:eastAsia="Times New Roman" w:hAnsi="Times New Roman" w:cs="Times New Roman"/>
          <w:color w:val="auto"/>
        </w:rPr>
      </w:pPr>
    </w:p>
    <w:p w:rsidR="008036BD" w:rsidRDefault="008036BD">
      <w:pPr>
        <w:autoSpaceDE w:val="0"/>
        <w:autoSpaceDN w:val="0"/>
        <w:adjustRightInd w:val="0"/>
        <w:spacing w:after="150" w:line="264" w:lineRule="auto"/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</w:pPr>
    </w:p>
    <w:p w:rsidR="008036BD" w:rsidRDefault="008036BD">
      <w:pPr>
        <w:autoSpaceDE w:val="0"/>
        <w:autoSpaceDN w:val="0"/>
        <w:adjustRightInd w:val="0"/>
        <w:spacing w:after="150" w:line="264" w:lineRule="auto"/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</w:pPr>
    </w:p>
    <w:p w:rsidR="00547ADC" w:rsidRDefault="00547ADC">
      <w:pPr>
        <w:autoSpaceDE w:val="0"/>
        <w:autoSpaceDN w:val="0"/>
        <w:adjustRightInd w:val="0"/>
        <w:spacing w:after="150" w:line="264" w:lineRule="auto"/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</w:pPr>
    </w:p>
    <w:p w:rsidR="00547ADC" w:rsidRDefault="00547ADC">
      <w:pPr>
        <w:autoSpaceDE w:val="0"/>
        <w:autoSpaceDN w:val="0"/>
        <w:adjustRightInd w:val="0"/>
        <w:spacing w:after="150" w:line="264" w:lineRule="auto"/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</w:pPr>
    </w:p>
    <w:p w:rsidR="00547ADC" w:rsidRDefault="00547ADC">
      <w:pPr>
        <w:autoSpaceDE w:val="0"/>
        <w:autoSpaceDN w:val="0"/>
        <w:adjustRightInd w:val="0"/>
        <w:spacing w:after="150" w:line="264" w:lineRule="auto"/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</w:pPr>
    </w:p>
    <w:p w:rsidR="00547ADC" w:rsidRDefault="00547ADC">
      <w:pPr>
        <w:autoSpaceDE w:val="0"/>
        <w:autoSpaceDN w:val="0"/>
        <w:adjustRightInd w:val="0"/>
        <w:spacing w:after="150" w:line="264" w:lineRule="auto"/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</w:pPr>
      <w:bookmarkStart w:id="3" w:name="_GoBack"/>
      <w:bookmarkEnd w:id="3"/>
    </w:p>
    <w:p w:rsidR="008036BD" w:rsidRDefault="00FE39F3">
      <w:pPr>
        <w:autoSpaceDE w:val="0"/>
        <w:autoSpaceDN w:val="0"/>
        <w:adjustRightInd w:val="0"/>
        <w:spacing w:after="150" w:line="264" w:lineRule="auto"/>
        <w:jc w:val="center"/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  <w:t>с. Бронница</w:t>
      </w:r>
    </w:p>
    <w:p w:rsidR="008036BD" w:rsidRDefault="00FE39F3">
      <w:pPr>
        <w:autoSpaceDE w:val="0"/>
        <w:autoSpaceDN w:val="0"/>
        <w:adjustRightInd w:val="0"/>
        <w:spacing w:after="150" w:line="264" w:lineRule="auto"/>
        <w:jc w:val="center"/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  <w:t>202</w:t>
      </w:r>
      <w:r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  <w:t>4</w:t>
      </w:r>
    </w:p>
    <w:p w:rsidR="008036BD" w:rsidRDefault="008036BD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036BD" w:rsidRDefault="00FE39F3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ПОЯСНИТЕЛЬНАЯ ЗАПИСКА</w:t>
      </w:r>
    </w:p>
    <w:p w:rsidR="008036BD" w:rsidRDefault="00FE39F3">
      <w:pPr>
        <w:spacing w:line="235" w:lineRule="auto"/>
        <w:ind w:left="260"/>
        <w:jc w:val="both"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Times New Roman"/>
          <w:color w:val="666666"/>
        </w:rPr>
        <w:t> </w:t>
      </w:r>
      <w:r>
        <w:rPr>
          <w:rFonts w:ascii="Times New Roman" w:eastAsia="Times New Roman" w:hAnsi="Times New Roman" w:cs="Arial"/>
          <w:color w:val="auto"/>
          <w:szCs w:val="20"/>
        </w:rPr>
        <w:t xml:space="preserve">  Программа курса внеурочной деятельности «Спортивные и подвижные игры» для 9 класса      относится к спортивно-оздоровительному направлению реализации внеурочной деятельности в рамках ФГОС и составлена на основе:</w:t>
      </w:r>
    </w:p>
    <w:p w:rsidR="008036BD" w:rsidRDefault="008036BD">
      <w:pPr>
        <w:spacing w:line="1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spacing w:line="0" w:lineRule="atLeast"/>
        <w:ind w:left="259"/>
        <w:jc w:val="both"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- Федерального Государственного</w:t>
      </w:r>
      <w:r>
        <w:rPr>
          <w:rFonts w:ascii="Times New Roman" w:eastAsia="Times New Roman" w:hAnsi="Times New Roman" w:cs="Arial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Arial"/>
          <w:color w:val="auto"/>
          <w:szCs w:val="20"/>
        </w:rPr>
        <w:t>стандарта</w:t>
      </w:r>
      <w:r>
        <w:rPr>
          <w:rFonts w:ascii="Times New Roman" w:eastAsia="Times New Roman" w:hAnsi="Times New Roman" w:cs="Arial"/>
          <w:color w:val="auto"/>
          <w:szCs w:val="20"/>
        </w:rPr>
        <w:t xml:space="preserve"> основного общего образования </w:t>
      </w:r>
    </w:p>
    <w:p w:rsidR="008036BD" w:rsidRDefault="008036BD">
      <w:pPr>
        <w:spacing w:line="13" w:lineRule="exact"/>
        <w:rPr>
          <w:rFonts w:ascii="Times New Roman" w:eastAsia="Times New Roman" w:hAnsi="Times New Roman" w:cs="Arial"/>
          <w:color w:val="auto"/>
          <w:szCs w:val="20"/>
        </w:rPr>
      </w:pPr>
    </w:p>
    <w:p w:rsidR="008036BD" w:rsidRDefault="00FE39F3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666666"/>
        </w:rPr>
        <w:t> </w:t>
      </w:r>
      <w:r>
        <w:rPr>
          <w:rFonts w:ascii="Times New Roman" w:eastAsia="Times New Roman" w:hAnsi="Times New Roman" w:cs="Times New Roman"/>
          <w:color w:val="auto"/>
        </w:rPr>
        <w:t>Данная программа является модифицированной, составлена на основе плана и программ:</w:t>
      </w:r>
    </w:p>
    <w:p w:rsidR="008036BD" w:rsidRDefault="00FE39F3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 w:cs="Arial"/>
          <w:b/>
          <w:i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zh-CN"/>
        </w:rPr>
        <w:t>- Комплексной программы физического воспитания учащихся 1-11 классов, авторы   В.И.  Лях, А.А. Зданевич. - М.:Просвещение, 2008г., допущенно</w:t>
      </w:r>
      <w:r>
        <w:rPr>
          <w:rFonts w:ascii="Times New Roman" w:eastAsia="Times New Roman" w:hAnsi="Times New Roman" w:cs="Times New Roman"/>
          <w:color w:val="auto"/>
          <w:lang w:val="zh-CN"/>
        </w:rPr>
        <w:t>й Министерством  образования и науки Российской Федерации</w:t>
      </w:r>
      <w:r>
        <w:rPr>
          <w:rFonts w:ascii="Times New Roman" w:eastAsia="Times New Roman" w:hAnsi="Times New Roman" w:cs="Arial"/>
          <w:b/>
          <w:i/>
          <w:color w:val="auto"/>
          <w:lang w:val="zh-CN"/>
        </w:rPr>
        <w:t xml:space="preserve"> </w:t>
      </w:r>
    </w:p>
    <w:p w:rsidR="008036BD" w:rsidRDefault="00FE39F3">
      <w:pPr>
        <w:autoSpaceDE w:val="0"/>
        <w:autoSpaceDN w:val="0"/>
        <w:adjustRightInd w:val="0"/>
        <w:ind w:firstLine="450"/>
        <w:jc w:val="both"/>
        <w:rPr>
          <w:rFonts w:ascii="Times New Roman" w:eastAsiaTheme="minorHAnsi" w:hAnsi="Times New Roman" w:cs="Times New Roman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-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 </w:t>
      </w:r>
      <w:r>
        <w:rPr>
          <w:rFonts w:ascii="Times New Roman" w:eastAsiaTheme="minorHAnsi" w:hAnsi="Times New Roman" w:cs="Times New Roman"/>
          <w:i/>
          <w:iCs/>
          <w:lang w:val="zh-CN" w:eastAsia="en-US"/>
        </w:rPr>
        <w:t xml:space="preserve">Григорьев, Д. В. </w:t>
      </w:r>
      <w:r>
        <w:rPr>
          <w:rFonts w:ascii="Times New Roman" w:eastAsiaTheme="minorHAnsi" w:hAnsi="Times New Roman" w:cs="Times New Roman"/>
          <w:lang w:val="zh-CN" w:eastAsia="en-US"/>
        </w:rPr>
        <w:t xml:space="preserve">Внеурочная деятельность школьников. Методический конструктор : пособие для учителя / Д. В. Григорьев, П. В. Степанов. – М. : Просвещение, 2010. – 223 с. – (Стандарты второго </w:t>
      </w:r>
      <w:r>
        <w:rPr>
          <w:rFonts w:ascii="Times New Roman" w:eastAsiaTheme="minorHAnsi" w:hAnsi="Times New Roman" w:cs="Times New Roman"/>
          <w:lang w:val="zh-CN" w:eastAsia="en-US"/>
        </w:rPr>
        <w:t>поколения).</w:t>
      </w:r>
    </w:p>
    <w:p w:rsidR="008036BD" w:rsidRDefault="00FE39F3">
      <w:pPr>
        <w:autoSpaceDE w:val="0"/>
        <w:autoSpaceDN w:val="0"/>
        <w:adjustRightInd w:val="0"/>
        <w:ind w:firstLine="45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lang w:val="zh-CN" w:eastAsia="en-US"/>
        </w:rPr>
        <w:t>Формирование</w:t>
      </w:r>
      <w:r>
        <w:rPr>
          <w:rFonts w:ascii="Times New Roman" w:eastAsiaTheme="minorHAnsi" w:hAnsi="Times New Roman" w:cs="Times New Roman"/>
          <w:i/>
          <w:iCs/>
          <w:lang w:val="zh-CN" w:eastAsia="en-US"/>
        </w:rPr>
        <w:t xml:space="preserve"> </w:t>
      </w:r>
      <w:r>
        <w:rPr>
          <w:rFonts w:ascii="Times New Roman" w:eastAsiaTheme="minorHAnsi" w:hAnsi="Times New Roman" w:cs="Times New Roman"/>
          <w:lang w:val="zh-CN" w:eastAsia="en-US"/>
        </w:rPr>
        <w:t xml:space="preserve">универсальных учебных действий в основной школе: от действия к мысли. Система заданий : пособие для учителя / под ред. А. Г. Асмолова. – М. : Просвещение, 2010. – 159 с. – 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>(Стандарты второго поколения).</w:t>
      </w:r>
    </w:p>
    <w:p w:rsidR="008036BD" w:rsidRDefault="00FE39F3">
      <w:pPr>
        <w:autoSpaceDE w:val="0"/>
        <w:autoSpaceDN w:val="0"/>
        <w:adjustRightInd w:val="0"/>
        <w:ind w:firstLine="45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val="zh-CN"/>
        </w:rPr>
        <w:t>Актуальность программы:</w:t>
      </w:r>
      <w:r>
        <w:rPr>
          <w:rFonts w:ascii="Arial" w:eastAsiaTheme="minorHAnsi" w:hAnsi="Arial" w:cs="Arial"/>
          <w:color w:val="auto"/>
          <w:lang w:val="zh-CN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zh-CN"/>
        </w:rPr>
        <w:t>П</w:t>
      </w:r>
      <w:r>
        <w:rPr>
          <w:rFonts w:ascii="Times New Roman" w:eastAsia="Times New Roman" w:hAnsi="Times New Roman" w:cs="Times New Roman"/>
          <w:color w:val="auto"/>
          <w:lang w:val="zh-CN"/>
        </w:rPr>
        <w:t>редлагаемая программа помогает  улучшить физические, физиологические и психические возможности ребенка с помощью правильного планирования занятий, дополняющих уроки физической  культуры. В основу планирования положены знания, базирующиеся на научных экспер</w:t>
      </w:r>
      <w:r>
        <w:rPr>
          <w:rFonts w:ascii="Times New Roman" w:eastAsia="Times New Roman" w:hAnsi="Times New Roman" w:cs="Times New Roman"/>
          <w:color w:val="auto"/>
          <w:lang w:val="zh-CN"/>
        </w:rPr>
        <w:t>иментах, выполненных в различных отраслях науки, таких как педагогика, физиология, психология, спортивная медицина, опыт ряда педагогов по физической культуре, работающих по ФГОС. Программа составлена с учетом особенности работы образовательного учреждения</w:t>
      </w:r>
      <w:r>
        <w:rPr>
          <w:rFonts w:ascii="Times New Roman" w:eastAsia="Times New Roman" w:hAnsi="Times New Roman" w:cs="Times New Roman"/>
          <w:color w:val="auto"/>
          <w:lang w:val="zh-CN"/>
        </w:rPr>
        <w:t xml:space="preserve"> и имеет оздоровительное, спортивное и общеразвивающее значение. Поэтому данная программа является программой внеурочной деятельности по физкультурно-спортивному и оздоровительном  направлению. Игра – исключительно ценный способ вовлечения школьников в дви</w:t>
      </w:r>
      <w:r>
        <w:rPr>
          <w:rFonts w:ascii="Times New Roman" w:eastAsia="Times New Roman" w:hAnsi="Times New Roman" w:cs="Times New Roman"/>
          <w:color w:val="auto"/>
          <w:lang w:val="zh-CN"/>
        </w:rPr>
        <w:t>гательную деятельность. Подвижные и спортивные игры на занятиях используются для решения образовательных, воспитательных и оздоровительных задач.  В играх, в отличие от других форм занятий, главное внимание обращается на оздоровительную сторону, воспитание</w:t>
      </w:r>
      <w:r>
        <w:rPr>
          <w:rFonts w:ascii="Times New Roman" w:eastAsia="Times New Roman" w:hAnsi="Times New Roman" w:cs="Times New Roman"/>
          <w:color w:val="auto"/>
          <w:lang w:val="zh-CN"/>
        </w:rPr>
        <w:t xml:space="preserve"> физических качеств, стремление подростков организовывать свою деятельность,  основываясь на четких и жестких правилах спортивных игр, которые дают возможность каждому обучающемуся развивать свои личностные качества, необходимые как в любых видах спортивно</w:t>
      </w:r>
      <w:r>
        <w:rPr>
          <w:rFonts w:ascii="Times New Roman" w:eastAsia="Times New Roman" w:hAnsi="Times New Roman" w:cs="Times New Roman"/>
          <w:color w:val="auto"/>
          <w:lang w:val="zh-CN"/>
        </w:rPr>
        <w:t xml:space="preserve">-оздоровительной деятельности, так и в обычной жизни. </w:t>
      </w:r>
    </w:p>
    <w:p w:rsidR="008036BD" w:rsidRDefault="00FE39F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val="zh-CN" w:eastAsia="en-US"/>
        </w:rPr>
        <w:t>Цель программы: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>и в систематическом участии в физкультурно-спортивных и оздоровительных мероприятиях.</w:t>
      </w:r>
    </w:p>
    <w:p w:rsidR="008036BD" w:rsidRDefault="00FE39F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val="zh-CN" w:eastAsia="en-US"/>
        </w:rPr>
        <w:t xml:space="preserve">Задачи программы  </w:t>
      </w:r>
      <w:r>
        <w:rPr>
          <w:rFonts w:ascii="Times New Roman" w:eastAsia="Calibri" w:hAnsi="Times New Roman" w:cs="Times New Roman"/>
          <w:color w:val="auto"/>
          <w:lang w:val="zh-CN" w:eastAsia="en-US"/>
        </w:rPr>
        <w:t>направлены на:</w:t>
      </w:r>
    </w:p>
    <w:p w:rsidR="008036BD" w:rsidRDefault="00FE39F3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Развитие у обучающихся положительной мотивации к занятиям физической культурой и спортом. </w:t>
      </w:r>
    </w:p>
    <w:p w:rsidR="008036BD" w:rsidRDefault="00FE39F3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Развитие навыков двигательной активности как составляющей здорового образа жизни и функциональной грамотности через заботу о собственном здоровье и развитии личности. </w:t>
      </w:r>
    </w:p>
    <w:p w:rsidR="008036BD" w:rsidRDefault="00FE39F3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Повышение уровня качества знаний по вопросам здоровья и его сохранения. </w:t>
      </w:r>
    </w:p>
    <w:p w:rsidR="008036BD" w:rsidRDefault="00FE39F3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>Формирование во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левых качеств, как основы получения образования. </w:t>
      </w:r>
    </w:p>
    <w:p w:rsidR="008036BD" w:rsidRDefault="00FE39F3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>Формирование потребности в систематическом участии в физкультурно-спортивных и оздоровительных мероприятиях.</w:t>
      </w:r>
    </w:p>
    <w:p w:rsidR="008036BD" w:rsidRDefault="00FE39F3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>Обобщение и углубление знаний об истории, культуре игр, желание применять игры самостоятельно и в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 повседневной жизни. </w:t>
      </w:r>
    </w:p>
    <w:p w:rsidR="008036BD" w:rsidRDefault="00FE39F3">
      <w:pPr>
        <w:numPr>
          <w:ilvl w:val="0"/>
          <w:numId w:val="1"/>
        </w:numPr>
        <w:autoSpaceDE w:val="0"/>
        <w:autoSpaceDN w:val="0"/>
        <w:adjustRightInd w:val="0"/>
        <w:spacing w:before="75" w:line="264" w:lineRule="auto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Воспитательный результат достигается по </w:t>
      </w:r>
      <w:r>
        <w:rPr>
          <w:rFonts w:ascii="Times New Roman" w:eastAsiaTheme="minorHAnsi" w:hAnsi="Times New Roman" w:cs="Times New Roman"/>
          <w:i/>
          <w:iCs/>
          <w:color w:val="auto"/>
          <w:lang w:val="zh-CN" w:eastAsia="en-US"/>
        </w:rPr>
        <w:t>двум уровням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 взаимодействия – связь ученика со своим учителем и взаимодействие школьников между собой на уровне группы секции.</w:t>
      </w:r>
    </w:p>
    <w:p w:rsidR="008036BD" w:rsidRDefault="00FE39F3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color w:val="auto"/>
          <w:szCs w:val="20"/>
        </w:rPr>
      </w:pPr>
      <w:r>
        <w:rPr>
          <w:rFonts w:ascii="Times New Roman" w:eastAsia="Times New Roman" w:hAnsi="Times New Roman" w:cs="Arial"/>
          <w:b/>
          <w:color w:val="auto"/>
          <w:szCs w:val="20"/>
        </w:rPr>
        <w:t>Планируемые результаты освоения внеурочной деятельности</w:t>
      </w:r>
    </w:p>
    <w:p w:rsidR="008036BD" w:rsidRDefault="00FE39F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Arial"/>
          <w:b/>
          <w:color w:val="auto"/>
          <w:szCs w:val="20"/>
          <w:lang w:val="zh-CN"/>
        </w:rPr>
        <w:t xml:space="preserve">Личностные </w:t>
      </w:r>
      <w:r>
        <w:rPr>
          <w:rFonts w:ascii="Times New Roman" w:eastAsia="Times New Roman" w:hAnsi="Times New Roman" w:cs="Arial"/>
          <w:b/>
          <w:color w:val="auto"/>
          <w:szCs w:val="20"/>
          <w:lang w:val="zh-CN"/>
        </w:rPr>
        <w:t>результаты</w:t>
      </w:r>
      <w:r>
        <w:rPr>
          <w:rFonts w:ascii="Times New Roman" w:eastAsia="Times New Roman" w:hAnsi="Times New Roman" w:cs="Arial"/>
          <w:color w:val="auto"/>
          <w:szCs w:val="20"/>
          <w:lang w:val="zh-CN"/>
        </w:rPr>
        <w:t>: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zh-CN" w:eastAsia="en-US"/>
        </w:rPr>
        <w:t xml:space="preserve"> </w:t>
      </w:r>
    </w:p>
    <w:p w:rsidR="008036BD" w:rsidRDefault="00FE39F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zh-CN"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общественно полезной видов деятельности; </w:t>
      </w:r>
    </w:p>
    <w:p w:rsidR="008036BD" w:rsidRDefault="00FE39F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-  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>формирование ценности здорового и безопасного образа жизни.</w:t>
      </w:r>
    </w:p>
    <w:p w:rsidR="008036BD" w:rsidRDefault="008036BD">
      <w:pPr>
        <w:spacing w:line="4" w:lineRule="exact"/>
        <w:rPr>
          <w:rFonts w:ascii="Times New Roman" w:eastAsia="Times New Roman" w:hAnsi="Times New Roman" w:cs="Arial"/>
          <w:color w:val="auto"/>
        </w:rPr>
      </w:pPr>
    </w:p>
    <w:p w:rsidR="008036BD" w:rsidRDefault="008036BD">
      <w:pPr>
        <w:spacing w:line="34" w:lineRule="exact"/>
        <w:rPr>
          <w:rFonts w:ascii="Times New Roman" w:eastAsia="Times New Roman" w:hAnsi="Times New Roman" w:cs="Arial"/>
          <w:color w:val="auto"/>
        </w:rPr>
      </w:pPr>
    </w:p>
    <w:p w:rsidR="008036BD" w:rsidRDefault="00FE39F3">
      <w:pPr>
        <w:spacing w:line="0" w:lineRule="atLeast"/>
        <w:rPr>
          <w:rFonts w:ascii="Times New Roman" w:eastAsia="Times New Roman" w:hAnsi="Times New Roman" w:cs="Arial"/>
          <w:color w:val="auto"/>
        </w:rPr>
      </w:pPr>
      <w:r>
        <w:rPr>
          <w:rFonts w:ascii="Times New Roman" w:eastAsia="Times New Roman" w:hAnsi="Times New Roman" w:cs="Arial"/>
          <w:color w:val="auto"/>
        </w:rPr>
        <w:t xml:space="preserve">        - установка на безопасный здоровый образ жизни</w:t>
      </w:r>
    </w:p>
    <w:p w:rsidR="008036BD" w:rsidRDefault="00FE39F3">
      <w:pPr>
        <w:spacing w:line="0" w:lineRule="atLeast"/>
        <w:ind w:left="260"/>
        <w:rPr>
          <w:rFonts w:ascii="Times New Roman" w:eastAsia="Times New Roman" w:hAnsi="Times New Roman" w:cs="Arial"/>
          <w:b/>
          <w:color w:val="auto"/>
          <w:szCs w:val="20"/>
        </w:rPr>
      </w:pPr>
      <w:r>
        <w:rPr>
          <w:rFonts w:ascii="Times New Roman" w:eastAsia="Times New Roman" w:hAnsi="Times New Roman" w:cs="Arial"/>
          <w:b/>
          <w:color w:val="auto"/>
          <w:szCs w:val="20"/>
        </w:rPr>
        <w:t>Метапредметные результаты.</w:t>
      </w:r>
    </w:p>
    <w:p w:rsidR="008036BD" w:rsidRDefault="00FE39F3">
      <w:pPr>
        <w:spacing w:line="0" w:lineRule="atLeast"/>
        <w:ind w:left="260"/>
        <w:rPr>
          <w:rFonts w:ascii="Times New Roman" w:eastAsia="Times New Roman" w:hAnsi="Times New Roman" w:cs="Arial"/>
          <w:b/>
          <w:color w:val="191919"/>
          <w:szCs w:val="20"/>
        </w:rPr>
      </w:pPr>
      <w:r>
        <w:rPr>
          <w:rFonts w:ascii="Times New Roman" w:eastAsia="Times New Roman" w:hAnsi="Times New Roman" w:cs="Arial"/>
          <w:b/>
          <w:color w:val="191919"/>
          <w:szCs w:val="20"/>
        </w:rPr>
        <w:t>Регулятивные УУД:</w:t>
      </w:r>
    </w:p>
    <w:p w:rsidR="008036BD" w:rsidRDefault="00FE39F3">
      <w:pPr>
        <w:spacing w:line="228" w:lineRule="auto"/>
        <w:ind w:left="260"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     -принимать и сохранять учебную задачу;</w:t>
      </w:r>
    </w:p>
    <w:p w:rsidR="008036BD" w:rsidRDefault="008036BD">
      <w:pPr>
        <w:spacing w:line="29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spacing w:line="232" w:lineRule="auto"/>
        <w:ind w:left="540"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- планировать этапы решения задачи, определять последовательность учебных действий в соответствии с </w:t>
      </w:r>
      <w:r>
        <w:rPr>
          <w:rFonts w:ascii="Times New Roman" w:eastAsia="Times New Roman" w:hAnsi="Times New Roman" w:cs="Arial"/>
          <w:color w:val="auto"/>
          <w:szCs w:val="20"/>
        </w:rPr>
        <w:t>поставленной задачей;</w:t>
      </w:r>
    </w:p>
    <w:p w:rsidR="008036BD" w:rsidRDefault="008036BD">
      <w:pPr>
        <w:spacing w:line="32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spacing w:line="232" w:lineRule="auto"/>
        <w:ind w:left="540" w:right="20"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-осуществлять пошаговый и итоговый контроль по результату под руководством учителя;</w:t>
      </w:r>
    </w:p>
    <w:p w:rsidR="008036BD" w:rsidRDefault="008036BD">
      <w:pPr>
        <w:spacing w:line="32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spacing w:line="247" w:lineRule="auto"/>
        <w:ind w:left="540" w:right="3040"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-анализировать ошибки и определять пути их преодоления; различать способы и результат действия; --адекватно воспринимать оценку сверстников и учител</w:t>
      </w:r>
      <w:r>
        <w:rPr>
          <w:rFonts w:ascii="Times New Roman" w:eastAsia="Times New Roman" w:hAnsi="Times New Roman" w:cs="Arial"/>
          <w:color w:val="auto"/>
          <w:szCs w:val="20"/>
        </w:rPr>
        <w:t>я;</w:t>
      </w:r>
    </w:p>
    <w:p w:rsidR="008036BD" w:rsidRDefault="008036BD">
      <w:pPr>
        <w:spacing w:line="22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spacing w:line="242" w:lineRule="auto"/>
        <w:ind w:left="600" w:right="720" w:hanging="60"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-прогнозировать результаты своих действий на основе анализа учебной ситуации; проявлять познавательную инициативу и самостоятельность;</w:t>
      </w:r>
    </w:p>
    <w:p w:rsidR="008036BD" w:rsidRDefault="008036BD">
      <w:pPr>
        <w:spacing w:line="2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spacing w:line="232" w:lineRule="auto"/>
        <w:ind w:left="540"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-самостоятельно адекватно оценивать правильность и выполнения действия и вносить необходимые коррективы и по ходу ре</w:t>
      </w:r>
      <w:r>
        <w:rPr>
          <w:rFonts w:ascii="Times New Roman" w:eastAsia="Times New Roman" w:hAnsi="Times New Roman" w:cs="Arial"/>
          <w:color w:val="auto"/>
          <w:szCs w:val="20"/>
        </w:rPr>
        <w:t>шения учебной задачи.</w:t>
      </w:r>
    </w:p>
    <w:p w:rsidR="008036BD" w:rsidRDefault="00FE39F3">
      <w:pPr>
        <w:autoSpaceDE w:val="0"/>
        <w:autoSpaceDN w:val="0"/>
        <w:adjustRightInd w:val="0"/>
        <w:spacing w:before="75"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Arial"/>
          <w:b/>
          <w:color w:val="auto"/>
          <w:szCs w:val="20"/>
          <w:lang w:val="zh-CN"/>
        </w:rPr>
        <w:t>Познавательные УУД: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zh-CN" w:eastAsia="en-US"/>
        </w:rPr>
        <w:t xml:space="preserve"> </w:t>
      </w:r>
    </w:p>
    <w:p w:rsidR="008036BD" w:rsidRDefault="008036BD">
      <w:pPr>
        <w:spacing w:line="2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2"/>
        </w:numPr>
        <w:spacing w:after="200" w:line="230" w:lineRule="auto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анализировать информацию, выбирать рациональный способ решения задачи;</w:t>
      </w:r>
    </w:p>
    <w:p w:rsidR="008036BD" w:rsidRDefault="008036BD">
      <w:pPr>
        <w:spacing w:line="2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2"/>
        </w:numPr>
        <w:spacing w:after="200" w:line="247" w:lineRule="auto"/>
        <w:ind w:right="338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формулировать проблему; </w:t>
      </w:r>
    </w:p>
    <w:p w:rsidR="008036BD" w:rsidRDefault="008036BD">
      <w:pPr>
        <w:spacing w:line="2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2"/>
        </w:numPr>
        <w:spacing w:after="200" w:line="232" w:lineRule="auto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строить логическое рассуждение, включающее установление причинно-следственных связей;</w:t>
      </w:r>
    </w:p>
    <w:p w:rsidR="008036BD" w:rsidRDefault="008036BD">
      <w:pPr>
        <w:spacing w:line="2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2"/>
        </w:numPr>
        <w:spacing w:after="200" w:line="232" w:lineRule="auto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различать обоснованные и </w:t>
      </w:r>
      <w:r>
        <w:rPr>
          <w:rFonts w:ascii="Times New Roman" w:eastAsia="Times New Roman" w:hAnsi="Times New Roman" w:cs="Arial"/>
          <w:color w:val="auto"/>
          <w:szCs w:val="20"/>
        </w:rPr>
        <w:t>необоснованные суждения;</w:t>
      </w:r>
    </w:p>
    <w:p w:rsidR="008036BD" w:rsidRDefault="008036BD">
      <w:pPr>
        <w:spacing w:line="29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2"/>
        </w:numPr>
        <w:spacing w:after="200" w:line="247" w:lineRule="auto"/>
        <w:ind w:right="306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преобразовывать практическую задачу в        познавательную; </w:t>
      </w:r>
    </w:p>
    <w:p w:rsidR="008036BD" w:rsidRDefault="00FE39F3">
      <w:pPr>
        <w:spacing w:line="0" w:lineRule="atLeast"/>
        <w:ind w:left="260"/>
        <w:rPr>
          <w:rFonts w:ascii="Times New Roman" w:eastAsia="Times New Roman" w:hAnsi="Times New Roman" w:cs="Arial"/>
          <w:b/>
          <w:color w:val="auto"/>
          <w:szCs w:val="20"/>
        </w:rPr>
      </w:pPr>
      <w:r>
        <w:rPr>
          <w:rFonts w:ascii="Times New Roman" w:eastAsia="Times New Roman" w:hAnsi="Times New Roman" w:cs="Arial"/>
          <w:b/>
          <w:color w:val="auto"/>
          <w:szCs w:val="20"/>
        </w:rPr>
        <w:t>Коммуникативные УУД:</w:t>
      </w:r>
    </w:p>
    <w:p w:rsidR="008036BD" w:rsidRDefault="00FE39F3">
      <w:pPr>
        <w:numPr>
          <w:ilvl w:val="0"/>
          <w:numId w:val="3"/>
        </w:numPr>
        <w:spacing w:after="200" w:line="244" w:lineRule="auto"/>
        <w:ind w:right="368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принимать участие в совместной работе коллектива; </w:t>
      </w:r>
    </w:p>
    <w:p w:rsidR="008036BD" w:rsidRDefault="008036BD">
      <w:pPr>
        <w:spacing w:line="22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3"/>
        </w:numPr>
        <w:spacing w:after="200" w:line="247" w:lineRule="auto"/>
        <w:ind w:right="138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координировать свои действия с действиями партнеров;</w:t>
      </w:r>
    </w:p>
    <w:p w:rsidR="008036BD" w:rsidRDefault="00FE39F3">
      <w:pPr>
        <w:numPr>
          <w:ilvl w:val="0"/>
          <w:numId w:val="3"/>
        </w:numPr>
        <w:spacing w:after="200" w:line="247" w:lineRule="auto"/>
        <w:ind w:right="138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корректно высказывать свое мнение, </w:t>
      </w:r>
      <w:r>
        <w:rPr>
          <w:rFonts w:ascii="Times New Roman" w:eastAsia="Times New Roman" w:hAnsi="Times New Roman" w:cs="Arial"/>
          <w:color w:val="auto"/>
          <w:szCs w:val="20"/>
        </w:rPr>
        <w:t>обосновывать свою позицию;</w:t>
      </w:r>
    </w:p>
    <w:p w:rsidR="008036BD" w:rsidRDefault="008036BD">
      <w:pPr>
        <w:spacing w:line="19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3"/>
        </w:numPr>
        <w:spacing w:after="200" w:line="249" w:lineRule="auto"/>
        <w:ind w:right="118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задавать вопросы для организации собственной и совместной деятельности; </w:t>
      </w:r>
    </w:p>
    <w:p w:rsidR="008036BD" w:rsidRDefault="00FE39F3">
      <w:pPr>
        <w:numPr>
          <w:ilvl w:val="0"/>
          <w:numId w:val="3"/>
        </w:numPr>
        <w:spacing w:after="200" w:line="249" w:lineRule="auto"/>
        <w:ind w:right="118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осуществлять взаимный контроль совместных действий принимать самостоятельно решения; </w:t>
      </w:r>
    </w:p>
    <w:p w:rsidR="008036BD" w:rsidRDefault="00FE39F3">
      <w:pPr>
        <w:numPr>
          <w:ilvl w:val="0"/>
          <w:numId w:val="3"/>
        </w:numPr>
        <w:spacing w:after="200" w:line="244" w:lineRule="auto"/>
        <w:ind w:right="86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содействовать разрешению конфликтов, учитывая позиции участников</w:t>
      </w:r>
      <w:r>
        <w:rPr>
          <w:rFonts w:ascii="Times New Roman" w:eastAsia="Times New Roman" w:hAnsi="Times New Roman" w:cs="Arial"/>
          <w:b/>
          <w:color w:val="auto"/>
          <w:szCs w:val="20"/>
        </w:rPr>
        <w:t xml:space="preserve"> Пред</w:t>
      </w:r>
      <w:r>
        <w:rPr>
          <w:rFonts w:ascii="Times New Roman" w:eastAsia="Times New Roman" w:hAnsi="Times New Roman" w:cs="Arial"/>
          <w:b/>
          <w:color w:val="auto"/>
          <w:szCs w:val="20"/>
        </w:rPr>
        <w:t>метные результаты</w:t>
      </w:r>
      <w:r>
        <w:rPr>
          <w:rFonts w:ascii="Times New Roman" w:eastAsia="Times New Roman" w:hAnsi="Times New Roman" w:cs="Arial"/>
          <w:color w:val="auto"/>
          <w:szCs w:val="20"/>
        </w:rPr>
        <w:t>:</w:t>
      </w:r>
    </w:p>
    <w:p w:rsidR="008036BD" w:rsidRDefault="00FE39F3">
      <w:pPr>
        <w:numPr>
          <w:ilvl w:val="0"/>
          <w:numId w:val="3"/>
        </w:numPr>
        <w:spacing w:after="200" w:line="252" w:lineRule="auto"/>
        <w:ind w:right="182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обобщать, делать несложные выводы; </w:t>
      </w:r>
    </w:p>
    <w:p w:rsidR="008036BD" w:rsidRDefault="00FE39F3">
      <w:pPr>
        <w:numPr>
          <w:ilvl w:val="0"/>
          <w:numId w:val="3"/>
        </w:numPr>
        <w:spacing w:after="200" w:line="230" w:lineRule="auto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давать определения тем или иным понятиям;</w:t>
      </w:r>
    </w:p>
    <w:p w:rsidR="008036BD" w:rsidRDefault="008036BD">
      <w:pPr>
        <w:spacing w:line="3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3"/>
        </w:numPr>
        <w:spacing w:after="200" w:line="242" w:lineRule="auto"/>
        <w:ind w:right="320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>выявлять закономерности и проводить аналогии;</w:t>
      </w:r>
    </w:p>
    <w:p w:rsidR="008036BD" w:rsidRDefault="008036BD">
      <w:pPr>
        <w:spacing w:line="2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3"/>
        </w:numPr>
        <w:spacing w:after="200" w:line="232" w:lineRule="auto"/>
        <w:ind w:right="4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создавать условия, способствующие наиболее полной реализации потенциальных познавательных возможностей всех </w:t>
      </w:r>
      <w:r>
        <w:rPr>
          <w:rFonts w:ascii="Times New Roman" w:eastAsia="Times New Roman" w:hAnsi="Times New Roman" w:cs="Arial"/>
          <w:color w:val="auto"/>
          <w:szCs w:val="20"/>
        </w:rPr>
        <w:t>детей в целом и каждого ребенка в отдельности, принимая во внимание особенности их развития.</w:t>
      </w:r>
    </w:p>
    <w:p w:rsidR="008036BD" w:rsidRDefault="008036BD">
      <w:pPr>
        <w:spacing w:line="3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8036BD" w:rsidRDefault="00FE39F3">
      <w:pPr>
        <w:numPr>
          <w:ilvl w:val="0"/>
          <w:numId w:val="3"/>
        </w:numPr>
        <w:spacing w:after="200" w:line="232" w:lineRule="auto"/>
        <w:ind w:right="40"/>
        <w:contextualSpacing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color w:val="auto"/>
          <w:szCs w:val="20"/>
        </w:rPr>
        <w:t xml:space="preserve">осуществлять </w:t>
      </w:r>
      <w:r>
        <w:rPr>
          <w:rFonts w:ascii="Times New Roman" w:eastAsia="Times New Roman" w:hAnsi="Times New Roman" w:cs="Arial"/>
          <w:b/>
          <w:i/>
          <w:color w:val="auto"/>
          <w:szCs w:val="20"/>
        </w:rPr>
        <w:t>принцип индивидуального и дифференцированного подхода в обучении</w:t>
      </w:r>
      <w:r>
        <w:rPr>
          <w:rFonts w:ascii="Times New Roman" w:eastAsia="Times New Roman" w:hAnsi="Times New Roman" w:cs="Arial"/>
          <w:color w:val="auto"/>
          <w:szCs w:val="20"/>
        </w:rPr>
        <w:t xml:space="preserve"> </w:t>
      </w:r>
      <w:r>
        <w:rPr>
          <w:rFonts w:ascii="Times New Roman" w:eastAsia="Times New Roman" w:hAnsi="Times New Roman" w:cs="Arial"/>
          <w:b/>
          <w:i/>
          <w:color w:val="auto"/>
          <w:szCs w:val="20"/>
        </w:rPr>
        <w:t xml:space="preserve">учащихся </w:t>
      </w:r>
      <w:r>
        <w:rPr>
          <w:rFonts w:ascii="Times New Roman" w:eastAsia="Times New Roman" w:hAnsi="Times New Roman" w:cs="Arial"/>
          <w:color w:val="auto"/>
          <w:szCs w:val="20"/>
        </w:rPr>
        <w:t>с разными образовательными возможностями.</w:t>
      </w:r>
    </w:p>
    <w:p w:rsidR="008036BD" w:rsidRDefault="00FE39F3">
      <w:pPr>
        <w:widowControl w:val="0"/>
        <w:autoSpaceDE w:val="0"/>
        <w:ind w:left="720"/>
        <w:jc w:val="both"/>
        <w:rPr>
          <w:rFonts w:ascii="Times New Roman" w:eastAsia="Times New Roman" w:hAnsi="Times New Roman" w:cs="Arial"/>
          <w:color w:val="auto"/>
          <w:szCs w:val="20"/>
        </w:rPr>
      </w:pPr>
      <w:r>
        <w:rPr>
          <w:rFonts w:ascii="Times New Roman" w:eastAsia="Times New Roman" w:hAnsi="Times New Roman" w:cs="Arial"/>
          <w:b/>
          <w:color w:val="auto"/>
          <w:szCs w:val="20"/>
        </w:rPr>
        <w:t>Результаты внеурочной деятельност</w:t>
      </w:r>
      <w:r>
        <w:rPr>
          <w:rFonts w:ascii="Times New Roman" w:eastAsia="Times New Roman" w:hAnsi="Times New Roman" w:cs="Arial"/>
          <w:b/>
          <w:color w:val="auto"/>
          <w:szCs w:val="20"/>
        </w:rPr>
        <w:t>и</w:t>
      </w:r>
      <w:r>
        <w:rPr>
          <w:rFonts w:ascii="Times New Roman" w:eastAsia="Times New Roman" w:hAnsi="Times New Roman" w:cs="Arial"/>
          <w:color w:val="auto"/>
          <w:szCs w:val="20"/>
        </w:rPr>
        <w:t xml:space="preserve"> являются частью результатов освоения основной   общеобразовательной программы в соответствии с требованиями ФГОС.</w:t>
      </w:r>
    </w:p>
    <w:p w:rsidR="008036BD" w:rsidRDefault="00FE39F3">
      <w:pPr>
        <w:widowControl w:val="0"/>
        <w:autoSpaceDE w:val="0"/>
        <w:ind w:left="72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 К концу года учащийся овладеет  </w:t>
      </w:r>
    </w:p>
    <w:p w:rsidR="008036BD" w:rsidRDefault="00FE39F3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 Основами  спортивной терминологии по спортивным играм, лёгкой атлетике, спортивной гимнастике;</w:t>
      </w:r>
    </w:p>
    <w:p w:rsidR="008036BD" w:rsidRDefault="00FE39F3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 Технику б</w:t>
      </w:r>
      <w:r>
        <w:rPr>
          <w:rFonts w:ascii="Times New Roman" w:eastAsia="Calibri" w:hAnsi="Times New Roman" w:cs="Times New Roman"/>
          <w:color w:val="auto"/>
          <w:lang w:eastAsia="ar-SA"/>
        </w:rPr>
        <w:t>езопасности , применяемую в базовых видах спорта;</w:t>
      </w:r>
    </w:p>
    <w:p w:rsidR="008036BD" w:rsidRDefault="00FE39F3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 Правилам судейства соревнований в изучаемых видах спорта</w:t>
      </w:r>
    </w:p>
    <w:p w:rsidR="008036BD" w:rsidRDefault="00FE39F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 Историей  возникновения Олимпийских игр;</w:t>
      </w:r>
    </w:p>
    <w:p w:rsidR="008036BD" w:rsidRDefault="00FE39F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 Правилами  здорового образа жизни;</w:t>
      </w:r>
    </w:p>
    <w:p w:rsidR="008036BD" w:rsidRDefault="00FE39F3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 Техникой    и тактикой  командных  действий;</w:t>
      </w:r>
    </w:p>
    <w:p w:rsidR="008036BD" w:rsidRDefault="00FE39F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0D0D0D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D0D0D"/>
          <w:lang w:eastAsia="ar-SA"/>
        </w:rPr>
        <w:t xml:space="preserve">Техникой  приёма, </w:t>
      </w:r>
      <w:r>
        <w:rPr>
          <w:rFonts w:ascii="Times New Roman" w:eastAsia="Calibri" w:hAnsi="Times New Roman" w:cs="Times New Roman"/>
          <w:color w:val="0D0D0D"/>
          <w:lang w:eastAsia="ar-SA"/>
        </w:rPr>
        <w:t>передачи, подачи мяча в волейболе;</w:t>
      </w:r>
    </w:p>
    <w:p w:rsidR="008036BD" w:rsidRDefault="00FE39F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0D0D0D"/>
          <w:lang w:eastAsia="ar-SA"/>
        </w:rPr>
      </w:pPr>
      <w:r>
        <w:rPr>
          <w:rFonts w:ascii="Times New Roman" w:eastAsia="Calibri" w:hAnsi="Times New Roman" w:cs="Times New Roman"/>
          <w:color w:val="0D0D0D"/>
          <w:lang w:eastAsia="ar-SA"/>
        </w:rPr>
        <w:t xml:space="preserve"> Техникой ловли-передачи, ведения, бросков мяча в баскетболе;   </w:t>
      </w:r>
    </w:p>
    <w:p w:rsidR="008036BD" w:rsidRDefault="00FE39F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0D0D0D"/>
          <w:lang w:eastAsia="ar-SA"/>
        </w:rPr>
      </w:pPr>
      <w:r>
        <w:rPr>
          <w:rFonts w:ascii="Times New Roman" w:eastAsia="Calibri" w:hAnsi="Times New Roman" w:cs="Times New Roman"/>
          <w:color w:val="0D0D0D"/>
          <w:lang w:eastAsia="ar-SA"/>
        </w:rPr>
        <w:t xml:space="preserve"> Техникой  бега на короткие дистанции в  лёгкой атлетике; </w:t>
      </w:r>
    </w:p>
    <w:p w:rsidR="008036BD" w:rsidRDefault="00FE39F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0D0D0D"/>
          <w:lang w:eastAsia="ar-SA"/>
        </w:rPr>
      </w:pPr>
      <w:r>
        <w:rPr>
          <w:rFonts w:ascii="Times New Roman" w:eastAsia="Calibri" w:hAnsi="Times New Roman" w:cs="Times New Roman"/>
          <w:color w:val="0D0D0D"/>
          <w:lang w:eastAsia="ar-SA"/>
        </w:rPr>
        <w:t xml:space="preserve"> Техникой  кувырков, прыжков, стоек в гимнастике;</w:t>
      </w:r>
    </w:p>
    <w:p w:rsidR="008036BD" w:rsidRDefault="00FE39F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Times New Roman" w:eastAsia="Calibri" w:hAnsi="Times New Roman" w:cs="Times New Roman"/>
          <w:color w:val="0D0D0D"/>
          <w:lang w:eastAsia="ar-SA"/>
        </w:rPr>
      </w:pPr>
      <w:r>
        <w:rPr>
          <w:rFonts w:ascii="Times New Roman" w:eastAsia="Calibri" w:hAnsi="Times New Roman" w:cs="Times New Roman"/>
          <w:color w:val="0D0D0D"/>
          <w:lang w:eastAsia="ar-SA"/>
        </w:rPr>
        <w:t xml:space="preserve"> Навыками  оказания первой медицинской помощи п</w:t>
      </w:r>
      <w:r>
        <w:rPr>
          <w:rFonts w:ascii="Times New Roman" w:eastAsia="Calibri" w:hAnsi="Times New Roman" w:cs="Times New Roman"/>
          <w:color w:val="0D0D0D"/>
          <w:lang w:eastAsia="ar-SA"/>
        </w:rPr>
        <w:t>ри травмах;</w:t>
      </w:r>
    </w:p>
    <w:p w:rsidR="008036BD" w:rsidRDefault="00FE39F3">
      <w:pPr>
        <w:autoSpaceDE w:val="0"/>
        <w:autoSpaceDN w:val="0"/>
        <w:adjustRightInd w:val="0"/>
        <w:spacing w:before="75" w:line="264" w:lineRule="auto"/>
        <w:ind w:firstLine="45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zh-CN" w:eastAsia="en-US"/>
        </w:rPr>
      </w:pPr>
      <w:r>
        <w:rPr>
          <w:rFonts w:ascii="Times New Roman" w:eastAsia="Times New Roman" w:hAnsi="Times New Roman" w:cs="Arial"/>
          <w:b/>
          <w:color w:val="auto"/>
          <w:szCs w:val="20"/>
          <w:lang w:val="zh-CN"/>
        </w:rPr>
        <w:lastRenderedPageBreak/>
        <w:t>Формами подведения итогов</w:t>
      </w:r>
      <w:r>
        <w:rPr>
          <w:rFonts w:ascii="Times New Roman" w:eastAsia="Times New Roman" w:hAnsi="Times New Roman" w:cs="Arial"/>
          <w:color w:val="auto"/>
          <w:szCs w:val="20"/>
          <w:lang w:val="zh-CN"/>
        </w:rPr>
        <w:t xml:space="preserve"> освоения программы внеурочной деятельности являются: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zh-CN" w:eastAsia="en-US"/>
        </w:rPr>
        <w:t xml:space="preserve"> </w:t>
      </w:r>
    </w:p>
    <w:p w:rsidR="008036BD" w:rsidRDefault="00FE39F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•  создание буклетов, плакатов; </w:t>
      </w:r>
    </w:p>
    <w:p w:rsidR="008036BD" w:rsidRDefault="00FE39F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t>•  участие в «Дне здоровья».</w:t>
      </w:r>
    </w:p>
    <w:p w:rsidR="008036BD" w:rsidRDefault="008036BD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8036BD" w:rsidRDefault="00FE39F3">
      <w:pPr>
        <w:keepNext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РАЗДЕЛ I</w:t>
      </w:r>
      <w:r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  <w:t>I</w:t>
      </w:r>
    </w:p>
    <w:p w:rsidR="008036BD" w:rsidRDefault="00FE39F3">
      <w:pPr>
        <w:autoSpaceDE w:val="0"/>
        <w:autoSpaceDN w:val="0"/>
        <w:adjustRightInd w:val="0"/>
        <w:spacing w:line="264" w:lineRule="auto"/>
        <w:ind w:firstLine="450"/>
        <w:jc w:val="center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lang w:val="zh-CN" w:eastAsia="en-US"/>
        </w:rPr>
        <w:t>Содержание программы</w:t>
      </w:r>
    </w:p>
    <w:p w:rsidR="008036BD" w:rsidRDefault="00FE39F3">
      <w:pPr>
        <w:autoSpaceDE w:val="0"/>
        <w:autoSpaceDN w:val="0"/>
        <w:adjustRightInd w:val="0"/>
        <w:spacing w:before="75" w:line="264" w:lineRule="auto"/>
        <w:ind w:firstLine="450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val="zh-CN" w:eastAsia="en-US"/>
        </w:rPr>
        <w:t>Сроки реализации программы: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 1 год.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 xml:space="preserve">Занятия проводятся 1 раз в неделю  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>в течение года. Всего – 34 ч.</w:t>
      </w:r>
    </w:p>
    <w:p w:rsidR="008036BD" w:rsidRDefault="00FE39F3">
      <w:pPr>
        <w:spacing w:line="223" w:lineRule="auto"/>
        <w:ind w:right="26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</w:rPr>
        <w:t xml:space="preserve">Основной </w:t>
      </w:r>
      <w:r>
        <w:rPr>
          <w:rFonts w:ascii="Times New Roman" w:eastAsia="Calibri" w:hAnsi="Times New Roman" w:cs="Times New Roman"/>
          <w:b/>
          <w:color w:val="auto"/>
        </w:rPr>
        <w:t>формой</w:t>
      </w:r>
      <w:r>
        <w:rPr>
          <w:rFonts w:ascii="Times New Roman" w:eastAsia="Calibri" w:hAnsi="Times New Roman" w:cs="Times New Roman"/>
          <w:color w:val="auto"/>
        </w:rPr>
        <w:t xml:space="preserve">  проведения внеурочной деятельности является –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>групповая</w:t>
      </w:r>
    </w:p>
    <w:p w:rsidR="008036BD" w:rsidRDefault="00FE39F3">
      <w:pPr>
        <w:spacing w:line="223" w:lineRule="auto"/>
        <w:ind w:right="260"/>
        <w:jc w:val="both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>Занятия полностью построены на игровых обучающих ситуациях с использованием спортивного инвентаря и без него.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Роль игры в организации досуга занимает важное место в жизни ребёнка, и поэтому рассматривается педагогами как одно из главных средств воспитания</w:t>
      </w:r>
      <w:r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. </w:t>
      </w:r>
    </w:p>
    <w:p w:rsidR="008036BD" w:rsidRDefault="00FE39F3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Arial"/>
          <w:b/>
          <w:color w:val="0B0800"/>
          <w:szCs w:val="20"/>
        </w:rPr>
        <w:t xml:space="preserve">Виды деятельности: </w:t>
      </w:r>
      <w:r>
        <w:rPr>
          <w:rFonts w:ascii="Times New Roman" w:eastAsia="Times New Roman" w:hAnsi="Times New Roman" w:cs="Arial"/>
          <w:color w:val="0B0800"/>
          <w:szCs w:val="20"/>
        </w:rPr>
        <w:t>занятия  физической  культуры  (классические, интегрированные, комбинированные и смешанн</w:t>
      </w:r>
      <w:r>
        <w:rPr>
          <w:rFonts w:ascii="Times New Roman" w:eastAsia="Times New Roman" w:hAnsi="Times New Roman" w:cs="Arial"/>
          <w:color w:val="0B0800"/>
          <w:szCs w:val="20"/>
        </w:rPr>
        <w:t>ые), практические занятия, самостоятельная работа учащихся с литературой, выпуск буклетов, плакатов.</w:t>
      </w:r>
    </w:p>
    <w:p w:rsidR="008036BD" w:rsidRDefault="00FE39F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lang w:val="zh-CN" w:eastAsia="en-US"/>
        </w:rPr>
        <w:t xml:space="preserve">       </w:t>
      </w:r>
    </w:p>
    <w:p w:rsidR="008036BD" w:rsidRDefault="00FE39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Учебно-тематический план</w:t>
      </w:r>
    </w:p>
    <w:p w:rsidR="008036BD" w:rsidRDefault="008036BD">
      <w:pPr>
        <w:autoSpaceDE w:val="0"/>
        <w:autoSpaceDN w:val="0"/>
        <w:adjustRightInd w:val="0"/>
        <w:spacing w:line="264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tbl>
      <w:tblPr>
        <w:tblW w:w="4787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"/>
        <w:gridCol w:w="4224"/>
        <w:gridCol w:w="5157"/>
      </w:tblGrid>
      <w:tr w:rsidR="008036BD">
        <w:trPr>
          <w:trHeight w:val="15"/>
          <w:tblHeader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zh-CN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zh-CN" w:eastAsia="en-US"/>
              </w:rPr>
              <w:t>№</w:t>
            </w:r>
          </w:p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zh-CN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zh-CN" w:eastAsia="en-US"/>
              </w:rPr>
              <w:t>п/п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zh-C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zh-CN"/>
              </w:rPr>
              <w:t>Тема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zh-C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zh-CN"/>
              </w:rPr>
              <w:t>Содержание</w:t>
            </w:r>
          </w:p>
        </w:tc>
      </w:tr>
      <w:tr w:rsidR="008036BD">
        <w:trPr>
          <w:trHeight w:val="1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lang w:val="zh-CN"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val="zh-CN" w:eastAsia="en-US"/>
              </w:rPr>
              <w:t>Введение</w:t>
            </w:r>
            <w:r>
              <w:rPr>
                <w:rFonts w:ascii="Times New Roman" w:eastAsia="Calibri" w:hAnsi="Times New Roman" w:cs="Times New Roman"/>
                <w:color w:val="auto"/>
                <w:lang w:val="zh-CN" w:eastAsia="en-US"/>
              </w:rPr>
              <w:t xml:space="preserve"> 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(1ч.)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val="zh-CN" w:eastAsia="en-US"/>
              </w:rPr>
              <w:t xml:space="preserve">Знакомство с программой занятий. Основы знаний о спортивных и подвижных играх: понятия правил игры, выработка правил игры. Инструктаж по технике безопасности. Разработка макетов буклетов по видам игр. </w:t>
            </w:r>
          </w:p>
        </w:tc>
      </w:tr>
      <w:tr w:rsidR="008036BD">
        <w:trPr>
          <w:trHeight w:val="1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zh-CN" w:eastAsia="en-US"/>
              </w:rPr>
              <w:t>Спортивные игры</w:t>
            </w:r>
          </w:p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лапта</w:t>
            </w:r>
          </w:p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Гандбол.</w:t>
            </w:r>
          </w:p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eastAsiaTheme="minorHAnsi" w:hAnsiTheme="minorHAnsi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Баскетбол.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(33ч.)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в среднем темпе, эстафеты с мячом, самостоятельно играют в разученные игры с мячом.</w:t>
            </w:r>
            <w:r>
              <w:rPr>
                <w:rFonts w:ascii="Times New Roman" w:eastAsia="Calibri" w:hAnsi="Times New Roman" w:cs="Times New Roman"/>
                <w:color w:val="auto"/>
                <w:lang w:val="zh-CN" w:eastAsia="en-US"/>
              </w:rPr>
              <w:t xml:space="preserve"> В содержание включаются такие подвижные игры: Эстафеты с ведением мяча, с передачей после ведения, змейкой и  зигзагом,</w:t>
            </w:r>
            <w:r>
              <w:rPr>
                <w:rFonts w:ascii="Arial" w:eastAsia="Calibri" w:hAnsi="Arial" w:cs="Arial"/>
                <w:color w:val="auto"/>
                <w:lang w:val="zh-CN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э</w:t>
            </w:r>
            <w:r>
              <w:rPr>
                <w:rFonts w:ascii="Times New Roman" w:eastAsia="Calibri" w:hAnsi="Times New Roman" w:cs="Times New Roman"/>
                <w:color w:val="auto"/>
                <w:lang w:val="zh-CN" w:eastAsia="en-US"/>
              </w:rPr>
              <w:t xml:space="preserve">стафета «Забрось мяч в кольцо»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lang w:val="zh-CN"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«Школа мяча» , «Перестрелка»  , «Лапта», «Запятнай последнего» , «10 передач» ,</w:t>
            </w:r>
            <w:r>
              <w:rPr>
                <w:rFonts w:ascii="Arial" w:eastAsia="Calibri" w:hAnsi="Arial" w:cs="Arial"/>
                <w:color w:val="auto"/>
                <w:lang w:val="zh-CN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«Пять бросков»,</w:t>
            </w:r>
            <w:r>
              <w:rPr>
                <w:rFonts w:ascii="Arial" w:eastAsia="Calibri" w:hAnsi="Arial" w:cs="Arial"/>
                <w:color w:val="auto"/>
                <w:lang w:val="zh-CN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«Эстафета футболистов», «Эстафета баскетболистов».  </w:t>
            </w:r>
          </w:p>
        </w:tc>
      </w:tr>
      <w:tr w:rsidR="008036BD">
        <w:trPr>
          <w:trHeight w:val="15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lang w:val="zh-CN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zh-CN" w:eastAsia="en-US"/>
              </w:rPr>
              <w:t>ИТОГО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lang w:val="zh-CN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zh-CN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34</w:t>
            </w:r>
            <w:r>
              <w:rPr>
                <w:rFonts w:ascii="Times New Roman" w:eastAsia="Times New Roman" w:hAnsi="Times New Roman" w:cs="Times New Roman"/>
                <w:color w:val="auto"/>
                <w:lang w:val="zh-CN"/>
              </w:rPr>
              <w:t>ч.)</w:t>
            </w:r>
          </w:p>
        </w:tc>
      </w:tr>
    </w:tbl>
    <w:p w:rsidR="008036BD" w:rsidRDefault="008036BD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8036BD" w:rsidRDefault="008036BD">
      <w:pPr>
        <w:keepNext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8036BD" w:rsidRDefault="008036BD">
      <w:pPr>
        <w:keepNext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8036BD" w:rsidRDefault="008036BD">
      <w:pPr>
        <w:keepNext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8036BD" w:rsidRDefault="00FE39F3">
      <w:pPr>
        <w:keepNext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РАЗДЕЛ I</w:t>
      </w:r>
      <w:r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  <w:t>II</w:t>
      </w:r>
    </w:p>
    <w:p w:rsidR="008036BD" w:rsidRDefault="00FE39F3">
      <w:pPr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20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063"/>
        <w:gridCol w:w="6511"/>
        <w:gridCol w:w="66"/>
        <w:gridCol w:w="930"/>
      </w:tblGrid>
      <w:tr w:rsidR="008036BD">
        <w:trPr>
          <w:trHeight w:val="599"/>
        </w:trPr>
        <w:tc>
          <w:tcPr>
            <w:tcW w:w="898" w:type="dxa"/>
          </w:tcPr>
          <w:p w:rsidR="008036BD" w:rsidRDefault="00FE39F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№п\п</w:t>
            </w:r>
          </w:p>
        </w:tc>
        <w:tc>
          <w:tcPr>
            <w:tcW w:w="1063" w:type="dxa"/>
          </w:tcPr>
          <w:p w:rsidR="008036BD" w:rsidRDefault="008036B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:rsidR="008036BD" w:rsidRDefault="00FE39F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Дата</w:t>
            </w:r>
          </w:p>
        </w:tc>
        <w:tc>
          <w:tcPr>
            <w:tcW w:w="6577" w:type="dxa"/>
            <w:gridSpan w:val="2"/>
          </w:tcPr>
          <w:p w:rsidR="008036BD" w:rsidRDefault="008036B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:rsidR="008036BD" w:rsidRDefault="00FE39F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Тема занятия</w:t>
            </w:r>
          </w:p>
        </w:tc>
        <w:tc>
          <w:tcPr>
            <w:tcW w:w="930" w:type="dxa"/>
          </w:tcPr>
          <w:p w:rsidR="008036BD" w:rsidRDefault="00FE39F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Кол-во часов</w:t>
            </w:r>
          </w:p>
        </w:tc>
      </w:tr>
      <w:tr w:rsidR="008036BD">
        <w:trPr>
          <w:trHeight w:val="216"/>
        </w:trPr>
        <w:tc>
          <w:tcPr>
            <w:tcW w:w="8538" w:type="dxa"/>
            <w:gridSpan w:val="4"/>
          </w:tcPr>
          <w:p w:rsidR="008036BD" w:rsidRDefault="00FE39F3">
            <w:pPr>
              <w:autoSpaceDE w:val="0"/>
              <w:autoSpaceDN w:val="0"/>
              <w:adjustRightInd w:val="0"/>
              <w:spacing w:line="264" w:lineRule="auto"/>
              <w:ind w:firstLine="450"/>
              <w:jc w:val="center"/>
              <w:rPr>
                <w:rFonts w:ascii="Times New Roman" w:eastAsiaTheme="minorHAnsi" w:hAnsi="Times New Roman" w:cs="Times New Roman"/>
                <w:color w:val="auto"/>
                <w:lang w:val="zh-C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val="zh-CN" w:eastAsia="en-US"/>
              </w:rPr>
              <w:t>Введение</w:t>
            </w:r>
          </w:p>
        </w:tc>
        <w:tc>
          <w:tcPr>
            <w:tcW w:w="930" w:type="dxa"/>
          </w:tcPr>
          <w:p w:rsidR="008036BD" w:rsidRDefault="00FE39F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50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Инструктаж по технике безопасности. Основы знаний подвижной  и спортивной игр.</w:t>
            </w:r>
          </w:p>
        </w:tc>
        <w:tc>
          <w:tcPr>
            <w:tcW w:w="930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481"/>
        </w:trPr>
        <w:tc>
          <w:tcPr>
            <w:tcW w:w="8472" w:type="dxa"/>
            <w:gridSpan w:val="3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Спортивные игры</w:t>
            </w:r>
          </w:p>
        </w:tc>
        <w:tc>
          <w:tcPr>
            <w:tcW w:w="996" w:type="dxa"/>
            <w:gridSpan w:val="2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33</w:t>
            </w:r>
          </w:p>
        </w:tc>
      </w:tr>
      <w:tr w:rsidR="008036BD">
        <w:trPr>
          <w:trHeight w:val="481"/>
        </w:trPr>
        <w:tc>
          <w:tcPr>
            <w:tcW w:w="8472" w:type="dxa"/>
            <w:gridSpan w:val="3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996" w:type="dxa"/>
            <w:gridSpan w:val="2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</w:t>
            </w:r>
          </w:p>
        </w:tc>
      </w:tr>
      <w:tr w:rsidR="008036BD">
        <w:trPr>
          <w:trHeight w:val="543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нападения. Действия без мяча. Перемещения и стойки.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523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с мячом. Передача мяча двумя руками. 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555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на точность. Встречная передача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576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мяча: нижняя прямая, нижняя боковая, подача сверху.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48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48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действия игроков. Взаимодействие игроков передней линии при приеме от подачи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48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519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действия игроков.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519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246"/>
        </w:trPr>
        <w:tc>
          <w:tcPr>
            <w:tcW w:w="8538" w:type="dxa"/>
            <w:gridSpan w:val="4"/>
          </w:tcPr>
          <w:p w:rsidR="008036BD" w:rsidRDefault="00FE39F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Гандбол.</w:t>
            </w:r>
          </w:p>
        </w:tc>
        <w:tc>
          <w:tcPr>
            <w:tcW w:w="930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</w:t>
            </w:r>
          </w:p>
        </w:tc>
      </w:tr>
      <w:tr w:rsidR="008036BD">
        <w:trPr>
          <w:trHeight w:val="346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мяч. Основные правила игры.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534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одежда и обувь. Техника игры в нападении и защите.</w:t>
            </w:r>
          </w:p>
        </w:tc>
        <w:tc>
          <w:tcPr>
            <w:tcW w:w="930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514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и перемещения, остановки. Ловля и передача мяча двумя руками на месте и в движении.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мяча и бросок. Отбор и выбивание мяча. </w:t>
            </w:r>
            <w:r>
              <w:rPr>
                <w:sz w:val="24"/>
                <w:szCs w:val="24"/>
              </w:rPr>
              <w:t>Блокирование броска.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Игра вратаря. Подготовка к соревнованиям. Соревнования.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538" w:type="dxa"/>
            <w:gridSpan w:val="4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Русская лапта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травматизма и оказание первой помощи при обучении детей игре «Русская лапта». Основы техники игры. Техническая подготовка игроков в </w:t>
            </w:r>
            <w:r>
              <w:rPr>
                <w:sz w:val="24"/>
                <w:szCs w:val="24"/>
              </w:rPr>
              <w:t>лапту: стойка игрока, техника ударов битой по мячу, перебежки, осаливание, самоосаливание и переосаливание.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мяча и передача в парах. Выбор биты. Удары битой по мячу сверху.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и передача мяча, осаливание. Двусторонняя игра. Передача,</w:t>
            </w:r>
            <w:r>
              <w:rPr>
                <w:sz w:val="24"/>
                <w:szCs w:val="24"/>
              </w:rPr>
              <w:t xml:space="preserve"> удары битой сверху, метание в цель.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упражнения, комбинации. Закрепление навыков игры и знакомство с основными правилами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3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игры и соревнования.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538" w:type="dxa"/>
            <w:gridSpan w:val="4"/>
          </w:tcPr>
          <w:p w:rsidR="008036BD" w:rsidRDefault="00FE39F3">
            <w:pPr>
              <w:pStyle w:val="1"/>
              <w:shd w:val="clear" w:color="auto" w:fill="auto"/>
              <w:spacing w:before="0" w:line="3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Баскетбол.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техники и тактики. Техника нападения. Техника передвижения. 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владения мячом. 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мяча двумя руками с места. Штрафной бросок. Бросок с трехочковой линии.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24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с изменением высоты отскока и скорости ведения.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мяча двумя руками с низкого отскока, одной рукой на уровне груди.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27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28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Взаимодействие игроков с заслонами.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spacing w:line="240" w:lineRule="atLeas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Групповые действия. 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538" w:type="dxa"/>
            <w:gridSpan w:val="4"/>
          </w:tcPr>
          <w:p w:rsidR="008036BD" w:rsidRDefault="00FE39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Футбол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</w:t>
            </w:r>
          </w:p>
        </w:tc>
      </w:tr>
      <w:tr w:rsidR="008036BD">
        <w:trPr>
          <w:trHeight w:val="32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передвижения. Удары по мячу головой, ногой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31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мяча. Ведение мяча. Обманные движения.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32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мяча. Вбрасывание мяча из-за боковой линии. Техника игры вратаря.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33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Тактика игры в </w:t>
            </w:r>
            <w:r>
              <w:rPr>
                <w:sz w:val="24"/>
                <w:szCs w:val="24"/>
              </w:rPr>
              <w:t>футбол. Тактика нападения. Индивидуальные действия без мяча, с мячом.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34</w:t>
            </w:r>
          </w:p>
        </w:tc>
        <w:tc>
          <w:tcPr>
            <w:tcW w:w="1063" w:type="dxa"/>
          </w:tcPr>
          <w:p w:rsidR="008036BD" w:rsidRDefault="008036B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8036BD">
        <w:trPr>
          <w:trHeight w:val="70"/>
        </w:trPr>
        <w:tc>
          <w:tcPr>
            <w:tcW w:w="898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63" w:type="dxa"/>
          </w:tcPr>
          <w:p w:rsidR="008036BD" w:rsidRDefault="008036B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77" w:type="dxa"/>
            <w:gridSpan w:val="2"/>
          </w:tcPr>
          <w:p w:rsidR="008036BD" w:rsidRDefault="00FE39F3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Итого </w:t>
            </w:r>
          </w:p>
        </w:tc>
        <w:tc>
          <w:tcPr>
            <w:tcW w:w="930" w:type="dxa"/>
          </w:tcPr>
          <w:p w:rsidR="008036BD" w:rsidRDefault="00FE39F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34</w:t>
            </w:r>
          </w:p>
        </w:tc>
      </w:tr>
    </w:tbl>
    <w:p w:rsidR="008036BD" w:rsidRDefault="008036BD">
      <w:pPr>
        <w:autoSpaceDE w:val="0"/>
        <w:autoSpaceDN w:val="0"/>
        <w:adjustRightInd w:val="0"/>
        <w:spacing w:before="240" w:after="150" w:line="264" w:lineRule="auto"/>
        <w:rPr>
          <w:rFonts w:ascii="Times New Roman" w:eastAsiaTheme="minorHAnsi" w:hAnsi="Times New Roman" w:cs="Times New Roman"/>
          <w:b/>
          <w:bCs/>
          <w:caps/>
          <w:color w:val="auto"/>
          <w:lang w:eastAsia="en-US"/>
        </w:rPr>
      </w:pPr>
    </w:p>
    <w:p w:rsidR="008036BD" w:rsidRDefault="00FE39F3">
      <w:pPr>
        <w:spacing w:after="20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Информационно-методическое обеспечение</w:t>
      </w:r>
    </w:p>
    <w:p w:rsidR="008036BD" w:rsidRDefault="00FE39F3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- малые и большие мячи, скакалки, канат, </w:t>
      </w:r>
      <w:r>
        <w:rPr>
          <w:rFonts w:ascii="Times New Roman" w:eastAsia="Calibri" w:hAnsi="Times New Roman" w:cs="Times New Roman"/>
          <w:color w:val="auto"/>
          <w:lang w:eastAsia="en-US"/>
        </w:rPr>
        <w:t>скамейки гимнастические, обручи, гантели 1 кг, диски С</w:t>
      </w:r>
      <w:r>
        <w:rPr>
          <w:rFonts w:ascii="Times New Roman" w:eastAsia="Calibri" w:hAnsi="Times New Roman" w:cs="Times New Roman"/>
          <w:color w:val="auto"/>
          <w:lang w:val="en-US" w:eastAsia="en-US"/>
        </w:rPr>
        <w:t>D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с фонограммами, музыкальный центр.  </w:t>
      </w:r>
    </w:p>
    <w:p w:rsidR="008036BD" w:rsidRDefault="00FE39F3">
      <w:pPr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Для учителя: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Гришина Г.Н «Любимые детские игры»  серия «Вместе с детьми», Москва, ООО «ТЦ Сфера», 1999 г.,-96 с., </w:t>
      </w:r>
      <w:r>
        <w:rPr>
          <w:rFonts w:ascii="Times New Roman" w:eastAsia="Calibri" w:hAnsi="Times New Roman" w:cs="Times New Roman"/>
          <w:color w:val="auto"/>
          <w:lang w:val="en-US" w:eastAsia="en-US"/>
        </w:rPr>
        <w:t>ISBN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5-89144-012-1;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Кенеман А.В.  «Детские подвижные игры народов СССР»  под ред. Т.И.Осокиной, Москва, Просвещение, 1989 г.- 239 с., </w:t>
      </w:r>
      <w:r>
        <w:rPr>
          <w:rFonts w:ascii="Times New Roman" w:eastAsia="Calibri" w:hAnsi="Times New Roman" w:cs="Times New Roman"/>
          <w:color w:val="auto"/>
          <w:lang w:val="en-US" w:eastAsia="en-US"/>
        </w:rPr>
        <w:t>ISBN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5-09-002913-X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Ковалёва Е.А. «Игры на свежем воздухе для детей и взрослых» серия «Азбука развития», Москва,  ООО «ИД РИПОЛ классик», </w:t>
      </w:r>
      <w:r>
        <w:rPr>
          <w:rFonts w:ascii="Times New Roman" w:eastAsia="Calibri" w:hAnsi="Times New Roman" w:cs="Times New Roman"/>
          <w:color w:val="auto"/>
          <w:lang w:val="en-US" w:eastAsia="en-US"/>
        </w:rPr>
        <w:t>ISBN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978-5-7905-4426-2, ООО «. ДОМ. XXI век, 2007 г.,-189 с., </w:t>
      </w:r>
      <w:r>
        <w:rPr>
          <w:rFonts w:ascii="Times New Roman" w:eastAsia="Calibri" w:hAnsi="Times New Roman" w:cs="Times New Roman"/>
          <w:color w:val="auto"/>
          <w:lang w:val="en-US" w:eastAsia="en-US"/>
        </w:rPr>
        <w:t>ISBN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978-5-91213-003-8;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Ковалько В. И. «Здоровье - сберегающие технологии», Москва «Вако», 2004 г.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Колесникова С.В. «Детская аэробика: Методика, базовые комплексы». Ростов н/д.: Феникс, 2005.-157.: </w:t>
      </w:r>
      <w:r>
        <w:rPr>
          <w:rFonts w:ascii="Times New Roman" w:eastAsia="Calibri" w:hAnsi="Times New Roman" w:cs="Times New Roman"/>
          <w:color w:val="auto"/>
          <w:lang w:eastAsia="en-US"/>
        </w:rPr>
        <w:t>ил.- (Школа развития)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Осокина Т. И. «Детские подвижные игры народов», Москва «Просвещение», 1989 г.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Примерная  основная   образовательная   программа образовательного учреждения. Начальная школа   (сост.Е. С. Савинов). — М. : Просвещение, 2010. (Стандарты </w:t>
      </w:r>
      <w:r>
        <w:rPr>
          <w:rFonts w:ascii="Times New Roman" w:eastAsia="Calibri" w:hAnsi="Times New Roman" w:cs="Times New Roman"/>
          <w:color w:val="auto"/>
          <w:lang w:eastAsia="en-US"/>
        </w:rPr>
        <w:t>второго поколения).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Рабочие     программы     по  физической   культуре.  1-11  классы  (по программам   В.И.  Ляха) 2007.-126с-(Образовательный  стандарт).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Степанова О.А «Игра и оздоровительная работа в школе», серия «Игровые технологии», Москва ООО «ТЦ С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фера» 2004 г., </w:t>
      </w:r>
      <w:r>
        <w:rPr>
          <w:rFonts w:ascii="Times New Roman" w:eastAsia="Calibri" w:hAnsi="Times New Roman" w:cs="Times New Roman"/>
          <w:color w:val="auto"/>
          <w:lang w:val="en-US" w:eastAsia="en-US"/>
        </w:rPr>
        <w:t>ISBN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5-89144-323-6,- 144 с.;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Фролов В. Г. «Физкультурные занятия на воздухе с детьми» Москва «Просвещение», 1983 г. 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ФГОС 2 поколения</w:t>
      </w:r>
    </w:p>
    <w:p w:rsidR="008036BD" w:rsidRDefault="00FE39F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Шевченко И. В. «Вместе весело играть», Ростов-на-Дону «Феникс», 2002 г.</w:t>
      </w:r>
    </w:p>
    <w:p w:rsidR="008036BD" w:rsidRDefault="00FE39F3">
      <w:pPr>
        <w:tabs>
          <w:tab w:val="left" w:pos="1080"/>
        </w:tabs>
        <w:ind w:left="-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      </w:t>
      </w:r>
    </w:p>
    <w:p w:rsidR="008036BD" w:rsidRDefault="00FE39F3">
      <w:pPr>
        <w:ind w:right="-567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Интернет-ресурсы</w:t>
      </w:r>
    </w:p>
    <w:p w:rsidR="008036BD" w:rsidRDefault="00FE39F3">
      <w:pPr>
        <w:ind w:right="-567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 Федерал</w:t>
      </w:r>
      <w:r>
        <w:rPr>
          <w:rFonts w:ascii="Times New Roman" w:eastAsiaTheme="minorHAnsi" w:hAnsi="Times New Roman" w:cs="Times New Roman"/>
          <w:color w:val="auto"/>
          <w:lang w:eastAsia="en-US"/>
        </w:rPr>
        <w:t>ьный государственный образовательный стандарт основного общего образования. – Режим доступа : http://standart.edu.ru/catalog.aspx?CatalogId=2588</w:t>
      </w:r>
    </w:p>
    <w:p w:rsidR="008036BD" w:rsidRDefault="00FE39F3">
      <w:pPr>
        <w:autoSpaceDE w:val="0"/>
        <w:autoSpaceDN w:val="0"/>
        <w:adjustRightInd w:val="0"/>
        <w:spacing w:line="264" w:lineRule="auto"/>
        <w:jc w:val="both"/>
        <w:rPr>
          <w:rFonts w:ascii="Times New Roman" w:eastAsiaTheme="minorHAnsi" w:hAnsi="Times New Roman" w:cs="Times New Roman"/>
          <w:color w:val="auto"/>
          <w:lang w:val="zh-CN" w:eastAsia="en-US"/>
        </w:rPr>
      </w:pPr>
      <w:r>
        <w:rPr>
          <w:rFonts w:ascii="Times New Roman" w:eastAsiaTheme="minorHAnsi" w:hAnsi="Times New Roman" w:cs="Times New Roman"/>
          <w:color w:val="auto"/>
          <w:lang w:val="zh-CN" w:eastAsia="en-US"/>
        </w:rPr>
        <w:lastRenderedPageBreak/>
        <w:t>2. Григорьев, Д. В. Методический конструктор внеурочной деятельности школьников / Д. В. Григорьев, П. В. Степан</w:t>
      </w:r>
      <w:r>
        <w:rPr>
          <w:rFonts w:ascii="Times New Roman" w:eastAsiaTheme="minorHAnsi" w:hAnsi="Times New Roman" w:cs="Times New Roman"/>
          <w:color w:val="auto"/>
          <w:lang w:val="zh-CN" w:eastAsia="en-US"/>
        </w:rPr>
        <w:t>ов. – Режим доступа : http://www.tiuu.ru/content/pages/228.htm</w:t>
      </w:r>
    </w:p>
    <w:p w:rsidR="008036BD" w:rsidRDefault="008036BD">
      <w:pPr>
        <w:rPr>
          <w:lang w:val="zh-CN"/>
        </w:rPr>
      </w:pPr>
    </w:p>
    <w:sectPr w:rsidR="00803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F3" w:rsidRDefault="00FE39F3">
      <w:r>
        <w:separator/>
      </w:r>
    </w:p>
  </w:endnote>
  <w:endnote w:type="continuationSeparator" w:id="0">
    <w:p w:rsidR="00FE39F3" w:rsidRDefault="00FE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F3" w:rsidRDefault="00FE39F3">
      <w:r>
        <w:separator/>
      </w:r>
    </w:p>
  </w:footnote>
  <w:footnote w:type="continuationSeparator" w:id="0">
    <w:p w:rsidR="00FE39F3" w:rsidRDefault="00FE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6355514"/>
    <w:multiLevelType w:val="multilevel"/>
    <w:tmpl w:val="0635551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D6903"/>
    <w:multiLevelType w:val="multilevel"/>
    <w:tmpl w:val="069D6903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AF766B1"/>
    <w:multiLevelType w:val="multilevel"/>
    <w:tmpl w:val="0AF766B1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7DC2"/>
    <w:multiLevelType w:val="multilevel"/>
    <w:tmpl w:val="66627DC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63"/>
    <w:rsid w:val="000153F5"/>
    <w:rsid w:val="00321758"/>
    <w:rsid w:val="004C7663"/>
    <w:rsid w:val="00547ADC"/>
    <w:rsid w:val="008036BD"/>
    <w:rsid w:val="00883CB7"/>
    <w:rsid w:val="00EF79E3"/>
    <w:rsid w:val="00FE39F3"/>
    <w:rsid w:val="09954C90"/>
    <w:rsid w:val="25E5603A"/>
    <w:rsid w:val="7E6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B2DA"/>
  <w15:docId w15:val="{330CC8A4-7F93-43FD-B80A-B753F12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Gulim" w:eastAsia="Gulim" w:hAnsi="Gulim" w:cs="Guli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Pr>
      <w:rFonts w:ascii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qFormat/>
    <w:pPr>
      <w:shd w:val="clear" w:color="auto" w:fill="FFFFFF"/>
      <w:spacing w:before="420" w:line="552" w:lineRule="exact"/>
      <w:jc w:val="both"/>
    </w:pPr>
    <w:rPr>
      <w:rFonts w:ascii="Times New Roman" w:eastAsiaTheme="minorHAnsi" w:hAnsi="Times New Roman" w:cs="Times New Roman"/>
      <w:color w:val="auto"/>
      <w:spacing w:val="1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1944</Words>
  <Characters>11086</Characters>
  <Application>Microsoft Office Word</Application>
  <DocSecurity>0</DocSecurity>
  <Lines>92</Lines>
  <Paragraphs>26</Paragraphs>
  <ScaleCrop>false</ScaleCrop>
  <Company>HP Inc.</Company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</cp:lastModifiedBy>
  <cp:revision>3</cp:revision>
  <dcterms:created xsi:type="dcterms:W3CDTF">2023-12-08T08:50:00Z</dcterms:created>
  <dcterms:modified xsi:type="dcterms:W3CDTF">2024-11-17T17:40:00Z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66CCA02688CF494080248B60B08DA851_13</vt:lpwstr>
  </property>
</Properties>
</file>